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58. “县域消费，县城新活”——县域青年消费升级与本地新业态使用意愿研究（第二批）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第二批（情绪经济×AI×乡村振兴×智慧农业）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研究对象：县域（含县城）18—35 岁居民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核心变量/研究问题：收入预期、消费升级意愿、新业态（咖啡/影院/国货）参与度、外流返乡意愿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所属选题库：正大杯第二批30个热点选题（情绪经济/AI/乡村振兴/智慧农业）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县城商圈/线上县域社群问卷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✅2026 上半年乡村消费品零售额 33216 亿元、同比增 2.5%（国家统计局）；✅2026 年 1—8 月乡村消费品零售额 43826 亿元、同比增 2.3%；✅光明网"培育乡村消费新场景新业态"（2026-07-29）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