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65. “家电下乡，旧换新潮”——农村居民家电以旧换新参与意愿与障碍研究（第三批）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研究对象：有家电换新需求的农村居民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核心变量/研究问题：政策知晓、参与障碍（信息渠道/旧机处理/物流/补贴申领）、参与意愿、满意度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县域家电卖场/村镇网点渠道；与第二批乡村板块形成"政策下乡"视角互补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✅政策要求线上平台保障农村地区线上补贴消费需求、线上渠道向农村倾斜（697号文）；✅农村消费市场扩容：2026H1乡村消费品零售额33216亿元（+2.5%）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