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88. “县域夜经济，烟火新地标”——县域夜间消费（夜市、商圈、夜游）需求与满意度研究（第三批）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研究对象：县域居民及游客（近一年参与夜间消费）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核心变量/研究问题：夜间消费习惯、消费类型、满意度、消费潜力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县域夜市/商圈现场调研；与第二批县域消费板块互补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✅2026上半年乡村消费品零售额33216亿元（+2.5%）；🔶夜经济发展政策（各地夜经济实施意见，待核验原文）；✅商务部培育夜间消费集聚区（政策背景）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