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117. “以竹代塑，绿色生活”——以竹代塑产品消费认知与购买研究（补充更新批）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第四批（91-120）·补充更新（2026-10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研究对象：购买过竹制替代品（竹筷、竹杯、竹餐具包）的消费者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核心变量/研究问题：以竹代塑知晓、购买品类、溢价接受、与塑料/纸替代品对比、使用体验、复购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研究阶段：早期+中期（政策新）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环保电商/展会渠道；与365（减塑生活）区分：聚焦竹替代材料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✅"以竹代塑"全球发展计划（2023年国家林草局等联合发布）；✅《加快"以竹代塑"发展三年行动计划》（发改委等政策）；🔶竹产业规模（行业数据需核验）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