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217. “旧衣新生，古着回潮”——旧衣回收与古着（Vintage）消费行为研究（第八批）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研究对象：参与旧衣回收或购买古着的 18—40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核心变量/研究问题：回收渠道（回收箱/平台上门）、动机（环保/省钱/时尚）、古着购买频率、品质顾虑、循环认同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古着店/旧衣回收平台社群渠道；与28题（二手数码）区分：聚焦服装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🔶旧衣回收与古着市场规模（行业报告需核验）；✅循环经济政策（发改委"以竹代塑"等绿色消费政策背景）；✅二手闲置交易用户规模（🔶闲鱼报告需下载）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