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218. “再生材料，绿色买单”——rPET、再生纤维等环保材质产品消费偏好研究（第八批）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研究对象：购买过环保材质（再生塑料瓶/再生纤维服饰/环保包装）产品的消费者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核心变量/研究问题：环保材质认知、购买动机、溢价接受（清洁标签68%溢价背景）、品质信任、复购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环保品牌（Patagonia/Allbirds/国产环保系列）用户渠道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✅68%消费者愿为"清洁标签"付溢价（第五六轮证据复用）；🔶再生材料消费调研（行业报告需核验）；✅"双碳"政策与绿色消费促进政策背景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