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219. “绿色外卖，少一分浪费”——外卖绿色消费（无餐具、绿色积分、环保包装）行为研究（第八批）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研究对象：常点外卖的 18—40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核心变量/研究问题："无需餐具"勾选率、餐具浪费感知、环保积分激励效果、包装评价、绿色意愿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外卖用户线上问卷+平台数据（订单备注分析）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🔶外卖绿色消费数据（美团/饿了么绿色行动报告需下载）；✅《反食品浪费法》与限塑政策背景；✅绿色消费理念推广（政策背景）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