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220. “毕业季跳蚤市场，青春循环”——高校毕业季二手交易（跳蚤市场、闲置群）研究（补充更新批）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第八批（211-240）·补充更新（2026-10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研究对象：参与过毕业季二手交易的大学生/毕业生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核心变量/研究问题：交易品类（教材/小家电/生活用品）、渠道（线下跳蚤市场/闲置群/平台）、定价与砍价、环保理念、传承寓意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研究阶段：中期（6-7月调研佳）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高校渠道（毕业季摊位）；与363（闲鱼）区分：聚焦校园毕业场景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🔶高校跳蚤市场现象（媒体）；✅大学生消费金融45%发展型支出（第九轮证据）；✅毕业季经济（299题衔接）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