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26. “绿色赛事，消费有责”——体育赛事观众绿色消费行为与低碳服务需求研究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研究对象：体育赛事观众和参赛者。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核心变量/研究问题：垃圾分类、绿色交通、循环餐具、碳积分、绿色支付意愿。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研究阶段：社会/市场调查。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结合具体体育赛事开展现场调研。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S2，政策提出绿色简约办赛和赛事消费场景建设。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