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28. “旧物新生，循环消费”——居民二手家电、二手数码产品交易意愿研究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仅供参赛团队研究使用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研究对象：18—45 岁城市居民。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核心变量/研究问题：价格优势、质量担忧、隐私安全、平台信任、环保意识、交易意愿。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研究阶段：中期意愿研究。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所属选题库：正大杯30个最新热点选题（topic-selection）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比较二手手机、二手家电和二手家具三个品类。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S4，新质生产力和绿色消费政策目录；正式参赛前补充商务部门以旧换新政策原文。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提示：行业报告与政策来源需在参赛前下载原文核对；本地市场结论须以问卷、访谈数据为准。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四、选题依据（研究背景）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