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363. “闲鱼回血，二手人生”——二手交易平台（闲鱼、转转）消费行为研究（第十三批）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研究对象：在闲鱼/转转买卖过闲置（数码/服饰/家具）的用户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核心变量/研究问题：买卖品类、定价与砍价、信用/验货信任、纠纷经历、环保认知、买卖频次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二手平台用户社群渠道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✅2025年国内闲置物品交易规模预计突破3万亿元；✅国务院"固废十条"要求至少安排1%左右产业用地扶持资源循环利用；✅"循环经济"理念写入生态环境法典（背景）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