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364. “旧手机旧家电，去哪了”——电子废弃物、旧家电回收消费行为研究（第十三批）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研究对象：处理过旧手机/旧家电/旧衣物的家庭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核心变量/研究问题：处置方式（回收/闲置/丢弃）、上门回收使用、渠道信任（隐私清除）、换新补贴联动、绿色认知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家电卖场以旧换新点+社区渠道；与61题（以旧换新）区分：聚焦回收端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3月工信部等六部门《关于促进光伏组件综合利用的指导意见》：2027年光伏组件综合利用量累计达25万吨；✅2025年以旧换新带动家电销售超26万亿元（第十一轮证据）；✅3C"以旧换新"国标（市场监管总局2026，第七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