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365. “少用塑料袋，减塑生活”——绿色消费中的减塑、无塑消费行为研究（第十三批）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研究对象：有环保意识、尝试减塑（自带杯/布袋/可降解）的消费者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核心变量/研究问题：减塑行为、可降解制品价格接受、替代品使用障碍、品牌绿色行动认可、消费意愿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咖啡店/商超现场+环保社群；与219题（绿色外卖）区分：聚焦个人日常减塑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🔶限塑令/禁塑令执行（国家发改委/生态环境部政策）需核验；✅绿色消费政策（《促进绿色消费实施方案》）；✅68%消费者愿为"清洁标签"付溢价（已核验）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