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428. “上门回收，废品也值钱”——互联网废品回收（上门回收）消费意愿研究（第十五批）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研究对象：用过或听过上门回收（废纸/旧衣/家电）的家庭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核心变量/研究问题：回收品类、价格透明、称重信任、预约便利、与楼下回收对比、环保认知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研究阶段：早期+中期（新业态）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上门回收平台（爱分类等）+社区渠道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🔶互联网回收平台（"爱分类"等模式媒体需核验）；✅"固废十条"与资源循环政策（第十三批证据）；✅二手交易破3万亿背景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