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64. “政策红包，效应几何”——以旧换新政策红利消退期的居民消费意愿变化研究（第三批）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研究对象：近两年使用过国补/了解国补政策的消费者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核心变量/研究问题：政策依赖度、边际效应感知、消费透支感知、真实需求、后续购买意愿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研究阶段：成熟期（政策效应评估）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对比已参与/未参与人群，问卷+访谈结合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🔶2026Q1家电零售规模同比下滑6.2%、5月家电类社零降幅扩大至15.6%（政策拉动效应减弱信号，行业报道待核验）；✅2026年国家继续实施以旧换新（697号文）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