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66. “能效升级，绿色家电”——一级能效家电补贴下居民绿色消费行为研究（第三批）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研究对象：近一年购买过家电的居民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核心变量/研究问题：能效认知、绿色价值观、补贴影响、购买决策、使用评价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家电卖场消费者拦截问卷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✅补贴限一级能效/水效产品（6类家电15%补贴，697号文）；✅绿色消费政策导向（国家发展改革委等稳增长扩消费政策）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