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90. “绿色消费，碳迹可见”——居民碳普惠、绿色消费行为与激励感知研究（第三批）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第三批（促消费×新零售×文旅×健康×民生）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研究对象：参与过碳积分/绿色消费活动（绿色出行/循环利用/低碳家电）的居民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核心变量/研究问题：环保态度、碳普惠认知、行为参与、激励效果感知、持续意愿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研究阶段：早期+中期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所属选题库：正大杯第三批30个热点选题（促消费/新零售/文旅/健康/民生）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绿色出行App/社区垃圾分类/低碳门店渠道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🔶多地碳普惠平台试点（深圳"碳普惠"、北京"绿色生活季"等，待核验具体文件）；✅一级能效家电以旧换新补贴（697号文，绿色消费政策联动）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