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033. “棉花娃娃，娃圈经济”——棉花娃娃、娃衣与娃圈消费行为研究（补充更新批）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二次元与青年潮流（2026-10 顶替已删除的 033 痛包题，编号不变）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研究对象：棉花娃娃玩家（“娃妈/娃爸”）及为娃消费的 15—35 岁人群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核心变量/研究问题：入坑动机（IP 情感寄托、装扮陪伴、解压）、娃与娃衣消费金额与频次、娃圈社交（晒娃、娃展、娃群）、定制与二创参与、与谷子/手办消费的比较与交叉、情感满足与复购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研究阶段：中期（现象活跃期，样本易触达）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按行业分类-16_二次元与青年潮流（顶替清理编号，详见行业索引）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娃圈社群（微博超话、小红书、闲鱼娃圈）渠道成熟；问卷+访谈可并行；与032（谷子经济）区分：聚焦棉花娃娃专项与娃衣产业链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🔶棉花娃娃“娃圈经济”规模与娃衣产业（行业媒体、电商平台数据须下载原文核验）；✅2025 年中国谷子经济市场规模 2021 亿元、同比增 19.66%，2026 年预计 2265 亿元（央广网，第二批证据）；✅泛二次元用户超 5.2 亿人（第二批证据）；🔶娃圈定制、娃展活动报道（媒体线索需核验）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