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103. “国乙世界，恋爱代偿”——国产乙女游戏消费行为与情感需求研究（第三批）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研究对象：玩过国产乙女游戏（恋与深空/光与夜之恋/如鸢等）的女性玩家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核心变量/研究问题：消费动机（情感代偿/剧情沉浸/收藏）、月均氪金、周边（谷子）消费、情感满足、消费争议感知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研究阶段：中期（消费行为）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乙游社群/超话渠道，样本易得且热情高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✅《恋与深空》2026年4月国服流水约2.55亿元、女性向手游"28连冠"（七麦/Sensor Tower，🔶口径）；✅截至2026年3月全球累计收入超10亿美元；✅新四大国乙2024年10月合计流水7.28亿元（36氪）；✅天猫旗舰店开业3天购物金破2.1亿元（凤凰网科技）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