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111. “国漫国游，文化自信”——国产动画、游戏 IP 衍生消费与国潮认同研究（第三批）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研究对象：消费过国漫/国游周边（谷子、手办、联名）的 Z 世代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核心变量/研究问题：IP 偏好、消费动机（热爱/收藏/社交）、国潮认同、月均支出、替代进口 IP 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谷子店/漫展/线上社群渠道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✅谷子经济2025年规模超2000亿元（第二批已核验：2025年2021亿、2026年2265亿，可复用）；✅国乙/黑神话现象级表现（本批证据链接）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