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143. “寺中一日，心灵SPA”——寺庙素斋、茶室、民宿（寺院生活体验）消费意愿研究（第五+六批）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第五+六批（银发康养×宠物金融×工业文旅×祈福静经济×卡牌电竞×社区餐饮×认养农业×情绪茶饮）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研究对象：对寺院素斋/禅修住宿感兴趣的都市人群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核心变量/研究问题：体验动机、价格接受、期望服务、信任、参与意愿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所属选题库：正大杯第五+六批60个特色选题（银发/宠物/工业文旅/祈福/静经济/卡牌/电竞/社区/认养/茶饮）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寺院生活体验项目渠道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🔶寺庙宿坊/禅修住宿为文旅新热点（日本案例+国内杭州/成都寺院体验项目，需引原文）；✅文旅部门推动寺庙文旅规范化（政策背景）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