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147. “i人经济，独处消费”——青年“独处式消费”（一人食、独自旅行、独自看展）行为研究（第五+六批）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研究对象：18—35岁践行独处消费的青年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核心变量/研究问题：独处消费场景、动机（放松/拒社交压力）、支出、满意度、"I人认同"身份感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研究阶段：中期（新概念）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一人食餐厅/独处体验馆/线上社群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✅新华财经2026-10:"i人经济"/安静消费升温——付费自习室、一人食、独处式休闲成假日新宠；✅33%消费者会为"一人食"专门消费、21%增加支出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