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151. “卡牌收藏，一卡千金”——TCG、收藏卡牌青少年消费行为研究（第五+六批）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研究对象：收藏或对战集换式卡牌（宝可梦/游戏王/奥特曼卡等）的玩家或家长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核心变量/研究问题：入坑途径、月均支出、稀有卡追逐、社交属性、过度消费认知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卡牌店/卡游渠道+学校周边；与谷子经济（第二批32）区分：聚焦竞技收藏卡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✅中国集换式卡牌2024年约263亿元、2029年预计446亿元（CAGR 11.1%）；✅卡游等头部企业营收三位数增长；✅泛二次元用户5.03亿人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