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152. “拆卡直播间，一盒一惊喜”——直播拆卡、盲盒卡包消费行为与冲动消费研究（第五+六批）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研究对象：在直播间购买过拆卡/卡包（乌龟对对碰、拆包代拆）的消费者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核心变量/研究问题：观看动机、单次消费、成瘾风险感知、退货维权、理性回归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拆卡直播间用户访谈+消费数据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🔶拆卡直播为2025—2026现象级消费（媒体关注"拆卡直播"乱象与监管，需引原文）；✅泛娱乐卡牌市场2025年破300亿元、2027年或冲击500亿元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