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153. “卡牌二级市场，收藏即投资”——卡牌二手交易、收藏投资意愿研究（第五+六批）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研究对象：参与卡牌二手交易（懂淘/闲鱼/卡淘）的玩家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核心变量/研究问题：交易习惯、价格波动认知、投资心态vs收藏心态、平台信任、风险感知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卡牌交易平台/卡店渠道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✅PTCG占国内TCG交易市场七成以上成交额、宝可梦相关成交订单破1亿单（艾瑞2026H1）；✅懂淘2026卡牌季度报告（二级市场交易维度，🔶需下载原文）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