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154. “宝可梦卡牌，破圈社交”——宝可梦、精灵宝可梦卡牌玩家圈层与社交消费研究（第五+六批）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研究对象：宝可梦卡牌（PTCG）玩家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核心变量/研究问题：入坑动机（IP热爱/对战/收藏）、赛事参与、圈层社交、月均支出、退坑原因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卡牌道馆赛/漫展/线上对战群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✅PTCG占国内TCG交易七成成交额（艾瑞）；✅2024年中国泛二次元用户5.03亿人（潜在用户基础）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