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155. “桌游吧，围炉夜话”——桌游吧、剧本桌游社交消费行为研究（第五+六批）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第五+六批（银发康养×宠物金融×工业文旅×祈福静经济×卡牌电竞×社区餐饮×认养农业×情绪茶饮）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研究对象：去过桌游吧/玩过桌游的年轻人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核心变量/研究问题：局次频率、人均消费、社交动机、DM服务满意度、复购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所属选题库：正大杯第五+六批60个特色选题（银发/宠物/工业文旅/祈福/静经济/卡牌/电竞/社区/认养/茶饮）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桌游吧现场调研+剧本杀社群（与剧本杀区分：重桌游轻剧情）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🔶桌游行业回暖（媒体：桌游吧"复活"报道，需引原文）；✅泛二次元/青年社交消费背景；✅TCG与桌游泛娱乐市场扩容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