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159. “客厅大屏，主机回归”——主机游戏（Switch、PS5）消费行为与家庭娱乐空间研究（第五+六批）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研究对象：拥有主机游戏设备的 18—40 岁消费者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核心变量/研究问题：购机动机、游戏支出（实体/数字）、家庭场景使用、与移动端游戏对比、满意度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主机游戏社群/电玩店渠道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🔶我国主机游戏市场扩容（《2025中国游戏产业报告》：主机收入增长，🔶需下载核对）；✅数字娱乐与家庭消费升级背景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