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161. “手机游戏，钱包战场”——手游内购消费行为与理性消费研究（第五+六批）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研究对象：玩手游且有内购经历（含抽卡）的 18—30 岁用户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核心变量/研究问题：月均内购、抽卡动机、保底机制认知、后悔感/理性、防沉迷自律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手游社区/校园渠道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🔶移动游戏收入占比（2026上半年移动游戏收入占比超七成，检索信息）；✅未成年人防沉迷新规（方向见板块十）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