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193. “一展带一城，漫展经济”——大型漫展（BW、CP）的文旅消费带动效应研究（第七批）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研究对象：参加过大型漫展的观众/摊主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核心变量/研究问题：参展动机、展内消费（门票/周边/餐饮）、跨城出行、周边酒店餐饮消费、满意度、复参意愿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漫展现场问卷+参展社群；与第三批75（演出带动跨城）区分：聚焦动漫展会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✅BW2026三天40万人次、首次面向全球190多个国家和地区售票；✅CP32预计为杭州带来超10亿元文商旅综合消费、漫展周边5公里酒店预订量飙升600%；✅广州漫展45%观众消费100-500元、政府配套发5万张美食消费券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