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194. “IP联名餐厅，二次元吃饭”——二次元IP主题餐饮、联名消费行为研究（第七批）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研究对象：为IP联名餐饮（原神/柯南/二次元主题店等）消费过的 Z 世代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核心变量/研究问题：打卡动机（IP热爱/限定周边）、单次消费、菜品评价、周边获取、复购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联名餐厅现场调研+谷子社群渠道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✅IP联名餐饮为常态打法：康师傅冰红茶、雀巢脆脆鲨联名原神；✅单场漫展拉动上亿元消费（餐饮联名周边）；✅二次元IP渗透餐饮/美妆/出行场景（行业趋势🔶）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