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196. “吃谷×三坑，圈层交叉”——谷子与三坑服饰圈层交叉消费行为研究（第七批）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研究对象：同时消费谷子（周边）与三坑服饰的泛二次元用户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核心变量/研究问题：消费结构（谷子vs服饰）、IP偏好、月均支出、圈层社交、收藏展示、预算分配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漫展/谷子店/三坑店渠道；与32题（谷子）区分：聚焦"谷子×三坑"交叉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✅"吃谷"是情感消费的极致形态、三坑/潮玩/谷子人群高度重叠（行业分析🔶）；✅泛二次元用户5.03亿人（中邮证券）；✅谷子经济2025年2021亿元（第二批已核验）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