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210. “电竞馆转型，社交新据点”——网吧、电竞馆向社交娱乐空间转型的消费需求研究（第七批）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第七批（数字内容×银发新生活×二次元线下×新职业柔性服务×二手独居×文旅新场景）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研究对象：去过转型电竞馆/综合娱乐空间（电竞+桌游+影音）的消费者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核心变量/研究问题：到店动机（组队/聚会/赛事观赛）、消费结构、与纯网咖对比、满意度、会员意愿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所属选题库：正大杯第七批30个特色选题（数字内容/银发新生活/二次元线下/新职业柔性服务/二手独居/文旅新场景）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电竞馆门店现场+游戏社群；与157题（电竞酒店）区分：聚焦日间娱乐空间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✅电竞酒店150亿元、5年+25%（行业数据，类比支撑）；🔶网咖行业转型"电竞馆/网咖2.0"（媒体）；✅电竞产业规模（中国音数协报告🔶需下载）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