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31. “情绪消费，悦己有价”——Z 世代青年情绪价值消费意愿及影响因素研究（第二批）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研究对象：18—35 岁城市青年消费者（Z 世代）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核心变量/研究问题：情绪价值感知、悦己动机、消费意愿、满意度、复购意愿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研究阶段：中期（购买意愿+影响因素）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青年触达渠道丰富（校园+线上社群），问卷+访谈可并行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✅艾媒咨询：2025 年中国情绪经济市场规模约 2.72 万亿元，预计 2029 年突破 4.5 万亿元；✅商务部消费大数据实验室报告：18—35 岁年轻人中 99% 会为情绪价值付费；✅2026 年 1 月国办《加快培育服务消费新增长点工作方案》提出支持"情绪式、体验式服务消费新场景"（🔶原文待 gov.cn 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