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32. “谷子经济，圈层认同”——二次元周边（谷子）消费行为与身份认同研究（第二批）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第二批（情绪经济×AI×乡村振兴×智慧农业）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研究对象：泛二次元消费者（含"吃谷"人群）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核心变量/研究问题：IP 卷入度、圈层认同、消费金额、社交分享、再购意愿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研究阶段：中期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所属选题库：正大杯第二批30个热点选题（情绪经济/AI/乡村振兴/智慧农业）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B 站/微博/漫展社群渠道成熟；"痛包""吧唧"等符号易操作化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✅2025 年中国谷子经济市场规模 2021 亿元、同比增 19.66%，2026 年预计 2265 亿元、2029 年有望突破 3000 亿元；✅泛二次元用户超 5.2 亿人；✅艾媒咨询：2023 年 1201 亿元→2024 年 1689 亿元→2029 年预计 3089 亿元（央广网）🔶核心消费群女性占 54.1%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