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34. “情绪疗愈，解压有道”——青年情绪疗愈型消费（香薰、冥想、解压馆）需求研究（第二批）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 岁有压力情绪的都市青年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核心变量/研究问题：压力感知、疗愈消费动机、支付意愿、满意度、重复消费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疗愈产品线丰富（香薰/音疗/睡眠），问卷+体验后反馈可结合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✅艾媒 2026 年抽样：近八成青年存在焦虑等情绪问题；✅2025 年情绪经济 2.72 万亿、2029 年预测 4.5 万亿（艾媒）；✅国办《加快培育服务消费新增长点工作方案》情绪式消费场景（🔶原文待核验）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