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360. “节日仪式感，就爱整活”——节日、节气仪式感消费（跨年、主题派对、节气体验）研究（第十二批）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研究对象：参与节日仪式感消费（跨年烟花/圣诞/节气打卡）的 18—35 岁青年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核心变量/研究问题：仪式感消费项目、人均支出、动机（情绪/社交/出片）、消费疲劳、理性边界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线上问卷+城市地标现场（跨年）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🔶"仪式感消费"（媒体/新消费观察）；✅情绪经济27186亿元（已核验）；✅"i人经济"独处消费（第五六轮证据）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