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411. “怀旧消费，回到过去”——怀旧经济（复古磁带、旧货、老式游戏机）消费行为研究（第十四批）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第十四批（夜间经济×老字号焕新×惠民保障×贵金属理财×文化消费×社区公共）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研究对象：购买/收藏怀旧物品的 20—40 岁消费者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核心变量/研究问题：怀旧品类（CD/磁带/老玩具）、购买渠道（中古店/线上）、情感动机、价格接受、社交分享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所属选题库：正大杯第十四批30个特色选题（夜间经济/老字号焕新/惠民保障/贵金属理财/文化消费/社区公共）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中古/怀旧主题店铺+线上社群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🔶怀旧经济（"复古潮"媒体需引原文）；✅情绪经济27186亿（已核验）；✅二手交易破3万亿（第十三批证据，怀旧流通通道）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