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413. “手账本里的精致生活”——手账、文具文创消费行为研究（第十四批）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研究对象：使用手账/胶带/文具的 15—35 岁消费者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核心变量/研究问题：手账用途（日程/日记/拼贴）、年度文具花费、国产文创品牌选择、线下文具店体验、复购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文创文具店现场+手账社群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🔶手账/文具市场（行业报告需核验）；✅"文具文创化"趋势（得力/晨光转型案例媒体）；✅情绪消费与悦己（已核验）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