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471. “IP 联名，一杯难求”——品牌IP联名（奶茶、快餐、盲盒）消费研究（第十六批）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研究对象：为IP联名（动漫/游戏/影视）买单的 15—35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核心变量/研究问题：联名产品购买动机、溢价接受、收藏与使用、社交媒体晒单、消费频次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联名门店现场+线上社群；与206-210（三坑）区分：聚焦联名营销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🔶IP联名经济（新茶饮联名案例媒体需核验）；✅谷子经济破百亿（第七轮已核验）；✅情绪消费（已核验）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