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474. “国潮玩具，大人的快乐”——成人玩具收藏（乐高、手办、毛绒）消费研究（第十六批）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第十六批（跨境免税×新兴运动×消费维权×银发娱乐3.0×文创现场×代际家庭）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研究对象：购买盲盒/手办/乐高/毛绒玩具的成年玩家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核心变量/研究问题：收藏品类、单件价格、悦己动机（解压）、限量收藏投资、展示与社群、年度花费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所属选题库：正大杯第十六批30个特色选题（跨境免税/新兴运动/消费维权/银发娱乐3.0/文创现场/代际家庭）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潮玩店/收藏社群渠道；与105题（谷子经济）区分：聚焦成人收藏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🔶潮玩市场（泡泡玛特财报/行业数据需核验）；✅中国收藏品市场规模（第一批已核验）；✅情绪经济（已核验）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