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93. “捏捏乐，捏出好心情”——解压捏捏玩具消费动机与情绪价值研究（第三批）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研究对象：购买过解压捏捏/解压玩具（史莱姆、捏捏乐等）的 12—35 岁消费者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核心变量/研究问题：购买动机（解压/收集/社交）、情绪效果感知、复购、单价接受、安全隐患认知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研究阶段：早期+中期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校园周边/文创店/线上社群渠道；现象前沿、评委眼前一亮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🔶解压捏捏为2025—2026短视频平台爆款品类（抖音"捏捏"话题播放量达数十亿级，需引平台数据）；🔶解压经济/情绪消费背景（可与第二批情绪经济衔接）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