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94. “石头宠物，情绪安放”——年轻人“宠物石”陪伴消费现象与其情感逻辑研究（第三批）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第四批（新奇特消费×AI新硬件×陪伴服务×文化现象×数字治理）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研究对象：养过/买过宠物石（pet rock）或类似"低养护陪伴物"的年轻人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核心变量/研究问题：消费动机（低成本陪伴/情绪寄托/玩梗）、情感联结、传播分享、复购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研究阶段：早期（现象探索）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所属选题库：正大杯第四批30个特色创新选题（新奇特/AI硬件/陪伴/文化/数字治理）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社交平台防空洞/小红书用户访谈+线上问卷；选题新颖、话题度强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🔶"石头宠物"为2025年社交媒体现象（多家媒体报道年轻人养石头宠物进行情绪陪伴，需引用具体媒体文章）；🔶宠物石是美国1975年经典营销案例（可作文献锚点）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