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200. “上门美甲美容，美丽到家”——柔性到家美容服务（美甲、美睫、推拿）消费行为研究（第七批）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研究对象：使用过上门美甲/美睫/美容/推拿服务的消费者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核心变量/研究问题：使用场景、平台选择、价格接受、安全信任、满意度、复购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到家服务平台（美团/河狸家）用户渠道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🔶上门美容服务市场规模（行业报告需核验）；✅即时零售/生活服务数字化趋势（第三批即时零售1万亿证据）；✅美业数字化报告（🔶）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