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204. “一个人的精致”——独居青年小份化、一人用消费研究（第七批）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研究对象：独居/单身居住的 20—40 岁人群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核心变量/研究问题：小份包装/迷你家电购买、一人食（复用177）、独居悦己支出、孤独感与消费补偿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单身公寓/独居社群渠道；与177题（一人食餐饮）区分：聚焦商品化消费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✅2026年十大消费趋势"情绪价值"排第一（行业🔶）；✅即时零售分钟级配送与深度体验并存（独居典型消费特征）；✅一人食33%消费者专门消费（新潮传媒）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