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205. “男颜经济，精致先生”——男性悦己、颜值消费（护肤、美妆、穿搭）行为研究（第七批）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研究对象：18—40岁有颜值消费的男性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核心变量/研究问题：品类偏好（护肤/香水/医美轻项目）、消费动机、月均支出、品牌信任、消费观念转变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男性美妆社群/数码男生护肤渠道；选题差异于女性向谷子/三坑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🔶男性美妆消费增速快（美妆行业报告需核验）；✅悦己消费趋势（消费升级背景）；✅"他经济"媒体讨论（需引原文）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