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256. “国货美妆，当打之年”——国货美妆消费行为与品牌选择研究（第九批）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研究对象：购买过国货美妆（珀莱雅/毛戈平/花西子等）的消费者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核心变量/研究问题：国货vs外资偏好、价格敏感、成分信任、回购、渠道（线上/CS店）、国潮认同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美妆社群/校园渠道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✅2025年化妆品全渠道交易额首次破1.1万亿元、国货份额57.37%；✅2026上半年美妆市场5189.1亿元（+4.6%）、线上TOP20国货占65%、抖音贡献80%净增；✅毛戈平上半年收入32.67亿元（+26.2%）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