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257. “成分党，读配料表”——功效护肤、“成分党”消费行为研究（第九批）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研究对象：关注成分的功效护肤消费者（18—40岁）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核心变量/研究问题：成分知识（烟酰胺/玻色因/A醇）、决策依据、KOL影响、试错成本、溢价接受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美妆测评社群渠道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✅68%消费者愿为"清洁标签"付溢价（第五六轮证据）；🔶功效护肤市场规模（行业报告需核验）；✅国货功效护肤打破溢价壁垒（美妆趋势）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