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258. “男士理容，精致进店”——男士理容（Barber、男士理发、护肤）消费行为研究（第九批）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第九批（消费金融×直播电商×健身健康×美妆个护×阅读音频×家居数码）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研究对象：去过Barber店/做男士护理的 18—40 岁男性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核心变量/研究问题：消费频次、价格接受（理发/护理）、服务体验、消费观念转变、复购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所属选题库：正大杯第九批30个特色选题（消费金融/直播电商/健身健康/美妆个护/阅读音频/家居数码）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Barber店/男士理容馆现场问卷；与205题（男颜经济）区分：聚焦实体理容服务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🔶男士理容市场增长（行业报告需核验）；✅"他经济"/男颜消费媒体讨论（需引原文）；✅美业数字化趋势（🔶）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