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259. “小众香氛，情绪气味”——香氛经济（香水、香薰、蜡烛）消费行为研究（第九批）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研究对象：购买过香水/家居香薰/香氛蜡烛的消费者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核心变量/研究问题：消费场景（悦己/送礼/助眠）、价格带、品牌偏好（国产小众vs国际）、情绪关联、复购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香氛门店/小红书香氛用户渠道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✅2026年中国香水香氛市场约53亿美元（约383.92亿元）、2028年有望440亿元、CAGR 14%（远超全球3.5%）；✅形态扩展至家居香薰/蜡烛/车载全品类；✅2026上半年香水出口25.02亿元（+31.05%）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